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CC79363" w:rsidR="0012209D" w:rsidRDefault="00893CC9" w:rsidP="00C70F48">
            <w:r>
              <w:t>5</w:t>
            </w:r>
            <w:r w:rsidRPr="00893CC9">
              <w:rPr>
                <w:vertAlign w:val="superscript"/>
              </w:rPr>
              <w:t>th</w:t>
            </w:r>
            <w:r>
              <w:t xml:space="preserve"> January 2024</w:t>
            </w:r>
          </w:p>
        </w:tc>
      </w:tr>
    </w:tbl>
    <w:p w14:paraId="15BF086A" w14:textId="77777777" w:rsidR="0012209D" w:rsidRDefault="0012209D" w:rsidP="0012209D"/>
    <w:p w14:paraId="15BF086B" w14:textId="28D84F13" w:rsidR="0012209D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D5E5A95" w14:textId="26C11285" w:rsidR="00ED107E" w:rsidRDefault="00ED107E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ED107E" w14:paraId="5333BFF4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5AD5F781" w14:textId="77777777" w:rsidR="00ED107E" w:rsidRDefault="00ED107E" w:rsidP="00DF678D">
            <w:r>
              <w:t>Post title:</w:t>
            </w:r>
          </w:p>
        </w:tc>
        <w:tc>
          <w:tcPr>
            <w:tcW w:w="7117" w:type="dxa"/>
            <w:gridSpan w:val="3"/>
          </w:tcPr>
          <w:p w14:paraId="5D850593" w14:textId="161829BB" w:rsidR="00ED107E" w:rsidRPr="00447FD8" w:rsidRDefault="00F70A96" w:rsidP="00F70A96">
            <w:pPr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  <w:r w:rsidR="00FC05E6" w:rsidRPr="00FC05E6">
              <w:rPr>
                <w:b/>
                <w:bCs/>
              </w:rPr>
              <w:t xml:space="preserve"> Manager - Trusts, Foundations and Corporates</w:t>
            </w:r>
          </w:p>
        </w:tc>
      </w:tr>
      <w:tr w:rsidR="00ED107E" w14:paraId="06177BEC" w14:textId="77777777" w:rsidTr="001B5521">
        <w:tc>
          <w:tcPr>
            <w:tcW w:w="2510" w:type="dxa"/>
            <w:shd w:val="clear" w:color="auto" w:fill="auto"/>
          </w:tcPr>
          <w:p w14:paraId="0357CE88" w14:textId="77777777" w:rsidR="00ED107E" w:rsidRPr="003B7DFC" w:rsidRDefault="00ED107E" w:rsidP="00DF678D">
            <w:pPr>
              <w:rPr>
                <w:highlight w:val="yellow"/>
              </w:rPr>
            </w:pPr>
            <w:r w:rsidRPr="00F56B29">
              <w:t>Standard Occupation Code: (UKVI SOC CODE)</w:t>
            </w:r>
          </w:p>
        </w:tc>
        <w:tc>
          <w:tcPr>
            <w:tcW w:w="7117" w:type="dxa"/>
            <w:gridSpan w:val="3"/>
          </w:tcPr>
          <w:p w14:paraId="5A9AF78B" w14:textId="5AEEB824" w:rsidR="00ED107E" w:rsidRPr="003B7DFC" w:rsidRDefault="00893CC9" w:rsidP="00DF678D">
            <w:pPr>
              <w:rPr>
                <w:highlight w:val="yellow"/>
              </w:rPr>
            </w:pPr>
            <w:r w:rsidRPr="00893CC9">
              <w:t>2473</w:t>
            </w:r>
          </w:p>
        </w:tc>
      </w:tr>
      <w:tr w:rsidR="00ED107E" w14:paraId="4ABD2C91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4DF9B9D7" w14:textId="77777777" w:rsidR="00ED107E" w:rsidRDefault="00ED107E" w:rsidP="00DF678D">
            <w:r>
              <w:t>School/Department:</w:t>
            </w:r>
          </w:p>
        </w:tc>
        <w:tc>
          <w:tcPr>
            <w:tcW w:w="7117" w:type="dxa"/>
            <w:gridSpan w:val="3"/>
          </w:tcPr>
          <w:p w14:paraId="005B5449" w14:textId="77777777" w:rsidR="00ED107E" w:rsidRDefault="00ED107E" w:rsidP="00DF678D">
            <w:r>
              <w:t>Office of Development and Alumni Relations (ODAR)</w:t>
            </w:r>
          </w:p>
        </w:tc>
      </w:tr>
      <w:tr w:rsidR="00ED107E" w14:paraId="1FC5584E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56638B6C" w14:textId="77777777" w:rsidR="00ED107E" w:rsidRDefault="00ED107E" w:rsidP="00DF678D">
            <w:r>
              <w:t>Career Pathway:</w:t>
            </w:r>
          </w:p>
        </w:tc>
        <w:tc>
          <w:tcPr>
            <w:tcW w:w="4549" w:type="dxa"/>
          </w:tcPr>
          <w:p w14:paraId="43E880CE" w14:textId="77777777" w:rsidR="00ED107E" w:rsidRDefault="00ED107E" w:rsidP="00DF678D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9A23F1E" w14:textId="77777777" w:rsidR="00ED107E" w:rsidRDefault="00ED107E" w:rsidP="00DF678D">
            <w:r>
              <w:t>Level:</w:t>
            </w:r>
          </w:p>
        </w:tc>
        <w:tc>
          <w:tcPr>
            <w:tcW w:w="1723" w:type="dxa"/>
          </w:tcPr>
          <w:p w14:paraId="705C4B65" w14:textId="7F219473" w:rsidR="00ED107E" w:rsidRDefault="00ED107E" w:rsidP="00DF678D">
            <w:r>
              <w:t>4</w:t>
            </w:r>
          </w:p>
        </w:tc>
      </w:tr>
      <w:tr w:rsidR="00ED107E" w14:paraId="5D605D28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70D9707D" w14:textId="77777777" w:rsidR="00ED107E" w:rsidRDefault="00ED107E" w:rsidP="00DF678D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60BD688A" w14:textId="223EB2C3" w:rsidR="00ED107E" w:rsidRPr="005508A2" w:rsidRDefault="00ED107E" w:rsidP="00DF678D">
            <w:r>
              <w:t>Senior Development Manager</w:t>
            </w:r>
          </w:p>
        </w:tc>
      </w:tr>
      <w:tr w:rsidR="00ED107E" w14:paraId="423B7727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54E2BE5E" w14:textId="77777777" w:rsidR="00ED107E" w:rsidRDefault="00ED107E" w:rsidP="00DF678D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9ADF923" w14:textId="336231CE" w:rsidR="00ED107E" w:rsidRPr="005508A2" w:rsidRDefault="00294BD0" w:rsidP="00DF678D">
            <w:r>
              <w:t>N</w:t>
            </w:r>
            <w:r w:rsidR="00BF3DA8">
              <w:t>one at this time</w:t>
            </w:r>
          </w:p>
        </w:tc>
      </w:tr>
      <w:tr w:rsidR="001B5521" w14:paraId="21D642E6" w14:textId="77777777" w:rsidTr="001B5521">
        <w:tc>
          <w:tcPr>
            <w:tcW w:w="2510" w:type="dxa"/>
            <w:shd w:val="clear" w:color="auto" w:fill="D9D9D9" w:themeFill="background1" w:themeFillShade="D9"/>
          </w:tcPr>
          <w:p w14:paraId="7E56D8EC" w14:textId="77777777" w:rsidR="001B5521" w:rsidRDefault="001B5521" w:rsidP="001B5521">
            <w:r>
              <w:t>Post base:</w:t>
            </w:r>
          </w:p>
        </w:tc>
        <w:tc>
          <w:tcPr>
            <w:tcW w:w="7117" w:type="dxa"/>
            <w:gridSpan w:val="3"/>
          </w:tcPr>
          <w:p w14:paraId="64CCDA0E" w14:textId="22819DCA" w:rsidR="001B5521" w:rsidRPr="005508A2" w:rsidRDefault="001B5521" w:rsidP="001B5521">
            <w:r>
              <w:t>Office-based with some public-facing interaction</w:t>
            </w:r>
          </w:p>
        </w:tc>
      </w:tr>
    </w:tbl>
    <w:p w14:paraId="57F05201" w14:textId="77777777" w:rsidR="00ED107E" w:rsidRPr="007F025A" w:rsidRDefault="00ED107E" w:rsidP="0012209D">
      <w:pPr>
        <w:rPr>
          <w:b/>
          <w:bCs/>
          <w:sz w:val="22"/>
          <w:szCs w:val="24"/>
        </w:rPr>
      </w:pPr>
    </w:p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ABAD5BA" w14:textId="35D52054" w:rsidR="006D628C" w:rsidRDefault="00FC236C" w:rsidP="006D628C">
            <w:r>
              <w:t xml:space="preserve">Using detailed knowledge of the University and its research strengths and fundraising priorities, engage and inspire </w:t>
            </w:r>
            <w:r w:rsidR="000F6FE6">
              <w:t>trusts</w:t>
            </w:r>
            <w:r w:rsidR="00F27D02">
              <w:t xml:space="preserve">, </w:t>
            </w:r>
            <w:r w:rsidR="000F6FE6">
              <w:t>foundations</w:t>
            </w:r>
            <w:r w:rsidR="00F27D02">
              <w:t>, organisations and corporations</w:t>
            </w:r>
            <w:r>
              <w:t xml:space="preserve"> to advance the University’s mission through making </w:t>
            </w:r>
            <w:r w:rsidR="00164400">
              <w:t>Major</w:t>
            </w:r>
            <w:r>
              <w:t xml:space="preserve"> (</w:t>
            </w:r>
            <w:r w:rsidR="00164400">
              <w:t>£25k+</w:t>
            </w:r>
            <w:r>
              <w:t xml:space="preserve">) philanthropic </w:t>
            </w:r>
            <w:r w:rsidR="00164400">
              <w:t>G</w:t>
            </w:r>
            <w:r>
              <w:t>ifts</w:t>
            </w:r>
            <w:r w:rsidR="00164400">
              <w:t>.</w:t>
            </w:r>
            <w:r>
              <w:t xml:space="preserve"> </w:t>
            </w:r>
          </w:p>
          <w:p w14:paraId="04375D34" w14:textId="772E5C53" w:rsidR="008E7F4A" w:rsidRDefault="008E7F4A" w:rsidP="006D628C">
            <w:r>
              <w:t xml:space="preserve">Make a substantial contribution to the achievement of targets for current fundraising priority projects and </w:t>
            </w:r>
            <w:r w:rsidR="00671AD7">
              <w:t>play a role in</w:t>
            </w:r>
            <w:r>
              <w:t xml:space="preserve"> planning for the University’s next fundraising campaign. </w:t>
            </w:r>
          </w:p>
          <w:p w14:paraId="15BF088B" w14:textId="4D5E5992" w:rsidR="0012209D" w:rsidRDefault="0012209D" w:rsidP="00FC236C"/>
        </w:tc>
      </w:tr>
    </w:tbl>
    <w:p w14:paraId="15BF088D" w14:textId="0E38542D" w:rsidR="0012209D" w:rsidRDefault="0012209D" w:rsidP="0012209D"/>
    <w:p w14:paraId="7BEF6617" w14:textId="77777777" w:rsidR="008E7F4A" w:rsidRDefault="008E7F4A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A14D37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14D37"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1D22FEE" w14:textId="0233FE41" w:rsidR="006D628C" w:rsidRPr="00C91A5C" w:rsidRDefault="006D628C" w:rsidP="006D628C">
            <w:pPr>
              <w:rPr>
                <w:b/>
                <w:u w:val="single"/>
              </w:rPr>
            </w:pPr>
            <w:r w:rsidRPr="00C91A5C">
              <w:rPr>
                <w:b/>
                <w:u w:val="single"/>
              </w:rPr>
              <w:t>Fundraising</w:t>
            </w:r>
            <w:r w:rsidR="00485F59">
              <w:rPr>
                <w:b/>
                <w:u w:val="single"/>
              </w:rPr>
              <w:t xml:space="preserve"> </w:t>
            </w:r>
          </w:p>
          <w:p w14:paraId="4EFDDB9E" w14:textId="6B7B4ED3" w:rsidR="0076634E" w:rsidRDefault="006D628C" w:rsidP="006D628C">
            <w:r>
              <w:t>Use professional knowledge and experience in fundraising to actively manage a portfolio</w:t>
            </w:r>
            <w:r w:rsidRPr="00C91A5C">
              <w:t xml:space="preserve"> of </w:t>
            </w:r>
            <w:r w:rsidR="00F83BD2">
              <w:t>existing/</w:t>
            </w:r>
            <w:r w:rsidRPr="00C91A5C">
              <w:t xml:space="preserve">prospective major gift </w:t>
            </w:r>
            <w:r w:rsidR="000F6FE6">
              <w:t>trusts</w:t>
            </w:r>
            <w:r w:rsidR="00BA6D04">
              <w:t xml:space="preserve">, </w:t>
            </w:r>
            <w:r w:rsidR="000F6FE6">
              <w:t>foundations</w:t>
            </w:r>
            <w:r w:rsidR="00BA6D04">
              <w:t xml:space="preserve"> and organisations</w:t>
            </w:r>
            <w:r w:rsidR="0076634E">
              <w:t xml:space="preserve"> </w:t>
            </w:r>
            <w:r w:rsidR="0020245D">
              <w:t xml:space="preserve">with </w:t>
            </w:r>
            <w:r w:rsidR="0076634E">
              <w:t>the intent to secure 5- and 6-figure level gifts.</w:t>
            </w:r>
          </w:p>
          <w:p w14:paraId="36E984E7" w14:textId="0CF98F12" w:rsidR="0076634E" w:rsidRDefault="0076634E" w:rsidP="006D628C">
            <w:r>
              <w:t>Provide</w:t>
            </w:r>
            <w:r w:rsidRPr="00C91A5C">
              <w:t xml:space="preserve"> frequent, personalised contact (</w:t>
            </w:r>
            <w:r>
              <w:t xml:space="preserve">written funding applications, </w:t>
            </w:r>
            <w:r w:rsidRPr="00C91A5C">
              <w:t>email, telephone and face to face</w:t>
            </w:r>
            <w:r>
              <w:t xml:space="preserve"> meetings</w:t>
            </w:r>
            <w:r w:rsidRPr="00C91A5C">
              <w:t xml:space="preserve">) </w:t>
            </w:r>
            <w:r w:rsidR="0020245D">
              <w:t>to foster relationships with</w:t>
            </w:r>
            <w:r w:rsidRPr="00C91A5C">
              <w:t xml:space="preserve"> </w:t>
            </w:r>
            <w:r>
              <w:t>decision makers and influencers at major gift trusts, foundations and organisations to secure philanthropic income for University of Southampton fundraising priorities.</w:t>
            </w:r>
          </w:p>
          <w:p w14:paraId="75D48DF2" w14:textId="7B9325DF" w:rsidR="009A2021" w:rsidRDefault="004A5EC3" w:rsidP="009A2021">
            <w:r>
              <w:t>In consultation with your line manager, s</w:t>
            </w:r>
            <w:r w:rsidR="009A2021" w:rsidRPr="00D77F97">
              <w:t>et and achieve goals for your portfoli</w:t>
            </w:r>
            <w:r w:rsidR="009A2021">
              <w:t>o, developing and implementing</w:t>
            </w:r>
            <w:r w:rsidR="009A2021" w:rsidRPr="00D77F97">
              <w:t xml:space="preserve"> </w:t>
            </w:r>
            <w:r w:rsidR="009A2021">
              <w:t>cultivation, solicitation and stewardship plans for each prospect, as required.</w:t>
            </w:r>
          </w:p>
          <w:p w14:paraId="5E312EC2" w14:textId="69D66A42" w:rsidR="006D628C" w:rsidRPr="00C91A5C" w:rsidRDefault="002B76A0" w:rsidP="006D628C">
            <w:r>
              <w:lastRenderedPageBreak/>
              <w:t xml:space="preserve">Work with academic and University </w:t>
            </w:r>
            <w:r w:rsidR="009E25D6">
              <w:t>l</w:t>
            </w:r>
            <w:r>
              <w:t xml:space="preserve">eadership colleagues to provide </w:t>
            </w:r>
            <w:r w:rsidR="00294BD0">
              <w:t>current and prospective</w:t>
            </w:r>
            <w:r w:rsidR="00671AD7">
              <w:t xml:space="preserve"> supporters</w:t>
            </w:r>
            <w:r>
              <w:t xml:space="preserve"> with the appropriate </w:t>
            </w:r>
            <w:r w:rsidR="004A5EC3">
              <w:t xml:space="preserve">information, updates and </w:t>
            </w:r>
            <w:r>
              <w:t xml:space="preserve">connections they require to develop a </w:t>
            </w:r>
            <w:r w:rsidR="00671AD7">
              <w:t xml:space="preserve">positive </w:t>
            </w:r>
            <w:r>
              <w:t xml:space="preserve">partnership with the University.   </w:t>
            </w:r>
          </w:p>
          <w:p w14:paraId="1FDBA684" w14:textId="17CB1F4A" w:rsidR="006D628C" w:rsidRPr="00C91A5C" w:rsidRDefault="006D628C" w:rsidP="006D628C">
            <w:r w:rsidRPr="00C91A5C">
              <w:t xml:space="preserve">Focus specifically, but not exclusively, on fundraising for </w:t>
            </w:r>
            <w:r w:rsidR="002B76A0">
              <w:t xml:space="preserve">current </w:t>
            </w:r>
            <w:r>
              <w:t xml:space="preserve">priority projects, the Cancer Immunology </w:t>
            </w:r>
            <w:r w:rsidR="002B76A0">
              <w:t>Fund (cancer research)</w:t>
            </w:r>
            <w:r w:rsidR="00450C6D">
              <w:t>,</w:t>
            </w:r>
            <w:r w:rsidR="002B76A0">
              <w:t xml:space="preserve"> Ignite (widening participation)</w:t>
            </w:r>
            <w:r w:rsidR="005B57C1">
              <w:t>,</w:t>
            </w:r>
            <w:r w:rsidR="00450C6D">
              <w:t xml:space="preserve"> the Medical Innovation Fund (interdisciplinary research)</w:t>
            </w:r>
            <w:r w:rsidR="005B57C1">
              <w:t xml:space="preserve"> and the Institute for Medical Innovation (capital)</w:t>
            </w:r>
            <w:r>
              <w:t>, managing time and workload</w:t>
            </w:r>
            <w:r w:rsidR="002B76A0">
              <w:t xml:space="preserve"> </w:t>
            </w:r>
            <w:r>
              <w:t>to support the achievement of annual fundraising objectives</w:t>
            </w:r>
            <w:r w:rsidR="002B76A0">
              <w:t xml:space="preserve"> and targets</w:t>
            </w:r>
            <w:r>
              <w:t xml:space="preserve"> </w:t>
            </w:r>
            <w:r w:rsidR="002B76A0">
              <w:t>for these funds.</w:t>
            </w:r>
          </w:p>
          <w:p w14:paraId="111810E0" w14:textId="5B483D96" w:rsidR="00C36425" w:rsidRDefault="00C36425" w:rsidP="006D628C">
            <w:r>
              <w:t xml:space="preserve">Commission, </w:t>
            </w:r>
            <w:r w:rsidR="00164400">
              <w:t xml:space="preserve">provide briefings for and </w:t>
            </w:r>
            <w:r>
              <w:t xml:space="preserve">actively engage with relevant event </w:t>
            </w:r>
            <w:r w:rsidR="00164400">
              <w:t xml:space="preserve">and communication </w:t>
            </w:r>
            <w:r>
              <w:t>opportunities to support the creative engagement of your prospects and donors</w:t>
            </w:r>
            <w:r w:rsidR="00294BD0">
              <w:t>.</w:t>
            </w:r>
          </w:p>
          <w:p w14:paraId="76D26685" w14:textId="75B83BC1" w:rsidR="009A2021" w:rsidRDefault="002B76A0" w:rsidP="009A2021">
            <w:r>
              <w:t xml:space="preserve">Work with the Donor Relations Team to ensure the good stewardship and recognition of donors in </w:t>
            </w:r>
            <w:r w:rsidR="00FC236C">
              <w:t>your</w:t>
            </w:r>
            <w:r w:rsidR="004A5EC3">
              <w:t xml:space="preserve"> </w:t>
            </w:r>
            <w:r>
              <w:t xml:space="preserve">portfolio, </w:t>
            </w:r>
            <w:r w:rsidR="006D628C" w:rsidRPr="00C91A5C">
              <w:t>maximis</w:t>
            </w:r>
            <w:r>
              <w:t>ing</w:t>
            </w:r>
            <w:r w:rsidR="006D628C" w:rsidRPr="00C91A5C">
              <w:t xml:space="preserve"> all </w:t>
            </w:r>
            <w:r>
              <w:t>donor relations</w:t>
            </w:r>
            <w:r w:rsidR="006D628C" w:rsidRPr="00C91A5C">
              <w:t xml:space="preserve"> opportunities through strategic communications and events.</w:t>
            </w:r>
            <w:r w:rsidR="009A2021" w:rsidRPr="00D77F97">
              <w:t xml:space="preserve"> Devise and develop bespoke stewardship plans for </w:t>
            </w:r>
            <w:r w:rsidR="009A2021">
              <w:t xml:space="preserve">significant </w:t>
            </w:r>
            <w:r w:rsidR="009A2021" w:rsidRPr="00D77F97">
              <w:t xml:space="preserve">donors within </w:t>
            </w:r>
            <w:r w:rsidR="004A5EC3">
              <w:t xml:space="preserve">your </w:t>
            </w:r>
            <w:r w:rsidR="009A2021" w:rsidRPr="00D77F97">
              <w:t xml:space="preserve">portfolio, in consultation </w:t>
            </w:r>
            <w:r w:rsidR="009A2021">
              <w:t>with the Donor Relations T</w:t>
            </w:r>
            <w:r w:rsidR="009A2021" w:rsidRPr="00D77F97">
              <w:t>eam.</w:t>
            </w:r>
          </w:p>
          <w:p w14:paraId="340AA832" w14:textId="175E1160" w:rsidR="0012209D" w:rsidRDefault="00C36425" w:rsidP="009A2021">
            <w:r>
              <w:t>P</w:t>
            </w:r>
            <w:r w:rsidRPr="00C91A5C">
              <w:t xml:space="preserve">romote </w:t>
            </w:r>
            <w:r>
              <w:t xml:space="preserve">other areas of ODAR activity to </w:t>
            </w:r>
            <w:r w:rsidR="00294BD0">
              <w:t>current and prospective</w:t>
            </w:r>
            <w:r>
              <w:t xml:space="preserve"> supporters, working closely with </w:t>
            </w:r>
            <w:r w:rsidR="005B57C1">
              <w:t>Direct Marketing Fundraising</w:t>
            </w:r>
            <w:r>
              <w:t>, Special Gifts and Volunteering.</w:t>
            </w:r>
          </w:p>
          <w:p w14:paraId="15BF0892" w14:textId="16F22DD9" w:rsidR="00F27D02" w:rsidRDefault="00F27D02" w:rsidP="006A043F">
            <w:r w:rsidRPr="00744FD0">
              <w:rPr>
                <w:szCs w:val="18"/>
              </w:rPr>
              <w:t>Ensure professional and quality service standards are maintained within all areas of activity.</w:t>
            </w:r>
          </w:p>
        </w:tc>
        <w:tc>
          <w:tcPr>
            <w:tcW w:w="1018" w:type="dxa"/>
          </w:tcPr>
          <w:p w14:paraId="15BF0893" w14:textId="5F7A15BA" w:rsidR="0012209D" w:rsidRDefault="00485F59" w:rsidP="003B4741">
            <w:r>
              <w:lastRenderedPageBreak/>
              <w:t>65</w:t>
            </w:r>
            <w:r w:rsidR="00E804B0">
              <w:t xml:space="preserve"> %</w:t>
            </w:r>
          </w:p>
        </w:tc>
      </w:tr>
      <w:tr w:rsidR="00485F59" w14:paraId="70D09EB1" w14:textId="77777777" w:rsidTr="00A14D37">
        <w:tc>
          <w:tcPr>
            <w:tcW w:w="599" w:type="dxa"/>
            <w:tcBorders>
              <w:right w:val="nil"/>
            </w:tcBorders>
          </w:tcPr>
          <w:p w14:paraId="13ED0DEE" w14:textId="77777777" w:rsidR="00485F59" w:rsidRDefault="00485F59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20E39A" w14:textId="77777777" w:rsidR="00485F59" w:rsidRDefault="00485F59" w:rsidP="006D62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Development of Corporate Fundraising</w:t>
            </w:r>
          </w:p>
          <w:p w14:paraId="27E5F566" w14:textId="4C45FAC6" w:rsidR="00485F59" w:rsidRDefault="00485F59" w:rsidP="006D628C">
            <w:pPr>
              <w:rPr>
                <w:bCs/>
              </w:rPr>
            </w:pPr>
            <w:r>
              <w:rPr>
                <w:bCs/>
              </w:rPr>
              <w:t>Use professional knowledge and experience to develop ODAR’s fundraising from corporate organisations.</w:t>
            </w:r>
          </w:p>
          <w:p w14:paraId="1508E04B" w14:textId="6EE09A87" w:rsidR="00F27D02" w:rsidRDefault="00485F59" w:rsidP="00F27D02">
            <w:pPr>
              <w:rPr>
                <w:bCs/>
              </w:rPr>
            </w:pPr>
            <w:r>
              <w:rPr>
                <w:bCs/>
              </w:rPr>
              <w:t xml:space="preserve">Explore, with the support of the Prospect Development Team, the opportunity to build links </w:t>
            </w:r>
            <w:r w:rsidR="00703CA4">
              <w:rPr>
                <w:bCs/>
              </w:rPr>
              <w:t xml:space="preserve">with </w:t>
            </w:r>
            <w:r w:rsidR="00F27D02">
              <w:rPr>
                <w:bCs/>
              </w:rPr>
              <w:t xml:space="preserve">local and interested companies that may be in a position to support the University in line with their Corporate Social Responsibility (CSR) activities. </w:t>
            </w:r>
          </w:p>
          <w:p w14:paraId="083C2254" w14:textId="6D9927E2" w:rsidR="006A043F" w:rsidRPr="00485F59" w:rsidRDefault="006A043F" w:rsidP="00F27D02">
            <w:pPr>
              <w:rPr>
                <w:bCs/>
              </w:rPr>
            </w:pPr>
            <w:r>
              <w:rPr>
                <w:bCs/>
              </w:rPr>
              <w:t xml:space="preserve">Develop relationships with key stakeholders within the University that may hold existing relationships with corporations for other reasons, ensuring a collaborative approach to their management and future fundraising approaches. </w:t>
            </w:r>
          </w:p>
        </w:tc>
        <w:tc>
          <w:tcPr>
            <w:tcW w:w="1018" w:type="dxa"/>
          </w:tcPr>
          <w:p w14:paraId="05FDB335" w14:textId="52916D6B" w:rsidR="00485F59" w:rsidRDefault="00485F59" w:rsidP="003B4741">
            <w:r>
              <w:t>1</w:t>
            </w:r>
            <w:r w:rsidR="00F27D02">
              <w:t>5</w:t>
            </w:r>
            <w:r>
              <w:t>%</w:t>
            </w:r>
          </w:p>
        </w:tc>
      </w:tr>
      <w:tr w:rsidR="00485F59" w14:paraId="15BF0898" w14:textId="77777777" w:rsidTr="00A14D37">
        <w:tc>
          <w:tcPr>
            <w:tcW w:w="599" w:type="dxa"/>
            <w:tcBorders>
              <w:right w:val="nil"/>
            </w:tcBorders>
          </w:tcPr>
          <w:p w14:paraId="15BF0895" w14:textId="77777777" w:rsidR="00485F59" w:rsidRDefault="00485F59" w:rsidP="00485F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177123D" w14:textId="5007A33E" w:rsidR="00485F59" w:rsidRPr="00C91A5C" w:rsidRDefault="00485F59" w:rsidP="00485F59">
            <w:pPr>
              <w:rPr>
                <w:b/>
                <w:u w:val="single"/>
              </w:rPr>
            </w:pPr>
            <w:r w:rsidRPr="00C91A5C">
              <w:rPr>
                <w:b/>
                <w:u w:val="single"/>
              </w:rPr>
              <w:t xml:space="preserve">Analysis, reporting and </w:t>
            </w:r>
            <w:r>
              <w:rPr>
                <w:b/>
                <w:u w:val="single"/>
              </w:rPr>
              <w:t>advice</w:t>
            </w:r>
          </w:p>
          <w:p w14:paraId="4B91DBAA" w14:textId="545F2F71" w:rsidR="00485F59" w:rsidRDefault="00485F59" w:rsidP="00485F59">
            <w:r>
              <w:t xml:space="preserve">Working with Development Services colleagues, provide informed advice and analysis of information about prospects and donors, to support decision-making and business planning. </w:t>
            </w:r>
          </w:p>
          <w:p w14:paraId="38016670" w14:textId="72660D21" w:rsidR="00485F59" w:rsidRDefault="00485F59" w:rsidP="00485F59">
            <w:r>
              <w:t>Maintain up-to-</w:t>
            </w:r>
            <w:r w:rsidRPr="00C91A5C">
              <w:t xml:space="preserve">date information on all interactions and activities within the ODAR </w:t>
            </w:r>
            <w:r>
              <w:t xml:space="preserve">customer relationship management </w:t>
            </w:r>
            <w:r w:rsidRPr="00C91A5C">
              <w:t>database.</w:t>
            </w:r>
            <w:r>
              <w:t xml:space="preserve"> Utilise the database to effectively manage composition and progress of portfolio</w:t>
            </w:r>
            <w:r w:rsidR="00703CA4">
              <w:t xml:space="preserve"> and attainment against personal KPIs</w:t>
            </w:r>
            <w:r>
              <w:t>.</w:t>
            </w:r>
          </w:p>
          <w:p w14:paraId="15BF0896" w14:textId="74C42DDB" w:rsidR="00485F59" w:rsidRDefault="00485F59" w:rsidP="00485F59">
            <w:r w:rsidRPr="00C91A5C">
              <w:t xml:space="preserve">Ensure </w:t>
            </w:r>
            <w:r>
              <w:t xml:space="preserve">the </w:t>
            </w:r>
            <w:r w:rsidRPr="00C91A5C">
              <w:t>effective communication of information about University fundraising policies and p</w:t>
            </w:r>
            <w:r>
              <w:t>ractice b</w:t>
            </w:r>
            <w:r w:rsidRPr="00C91A5C">
              <w:t xml:space="preserve">etween </w:t>
            </w:r>
            <w:r>
              <w:t>the academic/professional service areas you are supporting and ODAR</w:t>
            </w:r>
            <w:r w:rsidRPr="00C91A5C">
              <w:t>.</w:t>
            </w:r>
          </w:p>
        </w:tc>
        <w:tc>
          <w:tcPr>
            <w:tcW w:w="1018" w:type="dxa"/>
          </w:tcPr>
          <w:p w14:paraId="15BF0897" w14:textId="0BB6FD17" w:rsidR="00485F59" w:rsidRDefault="00485F59" w:rsidP="00485F59">
            <w:r>
              <w:t>10 %</w:t>
            </w:r>
          </w:p>
        </w:tc>
      </w:tr>
      <w:tr w:rsidR="00485F59" w14:paraId="15BF08A0" w14:textId="77777777" w:rsidTr="00A14D37">
        <w:tc>
          <w:tcPr>
            <w:tcW w:w="599" w:type="dxa"/>
            <w:tcBorders>
              <w:right w:val="nil"/>
            </w:tcBorders>
          </w:tcPr>
          <w:p w14:paraId="15BF089D" w14:textId="77777777" w:rsidR="00485F59" w:rsidRDefault="00485F59" w:rsidP="00485F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389C344" w14:textId="43B600FC" w:rsidR="00485F59" w:rsidRPr="00C91A5C" w:rsidRDefault="00485F59" w:rsidP="00485F5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Collaboration and communication</w:t>
            </w:r>
          </w:p>
          <w:p w14:paraId="2714C85E" w14:textId="27942F5A" w:rsidR="00485F59" w:rsidRPr="00C91A5C" w:rsidRDefault="00485F59" w:rsidP="00485F59">
            <w:r w:rsidRPr="00C91A5C">
              <w:t>Ensure effective communication, coordination and collaboration between</w:t>
            </w:r>
            <w:r>
              <w:t xml:space="preserve"> Faculties and ODAR </w:t>
            </w:r>
            <w:r w:rsidRPr="00C91A5C">
              <w:t>by act</w:t>
            </w:r>
            <w:r>
              <w:t>ing as key liaison, where appropriate.</w:t>
            </w:r>
          </w:p>
          <w:p w14:paraId="78CAB26F" w14:textId="451942E0" w:rsidR="00485F59" w:rsidRDefault="00485F59" w:rsidP="00485F59">
            <w:r w:rsidRPr="00C91A5C">
              <w:t xml:space="preserve">Serve as a strategic link between the Alumni </w:t>
            </w:r>
            <w:r>
              <w:t xml:space="preserve">and Supporter Engagement (ASE) Team </w:t>
            </w:r>
            <w:r w:rsidRPr="00C91A5C">
              <w:t xml:space="preserve">and </w:t>
            </w:r>
            <w:r>
              <w:t>current and prospective supporters</w:t>
            </w:r>
            <w:r w:rsidRPr="00C91A5C">
              <w:t xml:space="preserve"> in your portfolio to encourage their wider engagement with the University.</w:t>
            </w:r>
          </w:p>
          <w:p w14:paraId="4A0C48FD" w14:textId="450F3A64" w:rsidR="00485F59" w:rsidRDefault="00485F59" w:rsidP="00485F59">
            <w:r w:rsidRPr="00C91A5C">
              <w:t>Ensure continued specialist and current knowledge in development and alumni relations</w:t>
            </w:r>
            <w:r>
              <w:t xml:space="preserve"> by attending relevant training. Ma</w:t>
            </w:r>
            <w:r w:rsidRPr="00C91A5C">
              <w:t xml:space="preserve">intain professional links with peer institutions and </w:t>
            </w:r>
            <w:r>
              <w:t>the Council for the Advancement and Support of Education (CASE) and other relevant sector bodies.</w:t>
            </w:r>
          </w:p>
          <w:p w14:paraId="035DFE4B" w14:textId="3D5D943A" w:rsidR="00485F59" w:rsidRPr="00C91A5C" w:rsidRDefault="00485F59" w:rsidP="00485F59">
            <w:r>
              <w:t>Participate</w:t>
            </w:r>
            <w:r w:rsidRPr="00C91A5C">
              <w:t xml:space="preserve"> in events and other networking opportunities as a presenter and trainer, sharing best practice through (inter)national activity.</w:t>
            </w:r>
          </w:p>
          <w:p w14:paraId="15BF089E" w14:textId="5CA1111F" w:rsidR="00485F59" w:rsidRDefault="00485F59" w:rsidP="00485F59">
            <w:r w:rsidRPr="00C91A5C">
              <w:t>Represent the University and ODAR both internally and externally.</w:t>
            </w:r>
          </w:p>
        </w:tc>
        <w:tc>
          <w:tcPr>
            <w:tcW w:w="1018" w:type="dxa"/>
          </w:tcPr>
          <w:p w14:paraId="15BF089F" w14:textId="73A54BFC" w:rsidR="00485F59" w:rsidRDefault="00485F59" w:rsidP="00485F59">
            <w:r>
              <w:t>5 %</w:t>
            </w:r>
          </w:p>
        </w:tc>
      </w:tr>
      <w:tr w:rsidR="00485F59" w14:paraId="15BF08A8" w14:textId="77777777" w:rsidTr="00A14D37">
        <w:tc>
          <w:tcPr>
            <w:tcW w:w="599" w:type="dxa"/>
            <w:tcBorders>
              <w:right w:val="nil"/>
            </w:tcBorders>
          </w:tcPr>
          <w:p w14:paraId="15BF08A5" w14:textId="77777777" w:rsidR="00485F59" w:rsidRDefault="00485F59" w:rsidP="00485F5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7D042CC" w14:textId="301F890C" w:rsidR="00485F59" w:rsidRDefault="00485F59" w:rsidP="00485F59">
            <w:pPr>
              <w:rPr>
                <w:b/>
                <w:u w:val="single"/>
              </w:rPr>
            </w:pPr>
            <w:r w:rsidRPr="00C91A5C">
              <w:rPr>
                <w:b/>
                <w:u w:val="single"/>
              </w:rPr>
              <w:t>Additional duties</w:t>
            </w:r>
          </w:p>
          <w:p w14:paraId="29829A40" w14:textId="77777777" w:rsidR="00F27D02" w:rsidRDefault="00F27D02" w:rsidP="00F27D02">
            <w:pPr>
              <w:rPr>
                <w:bCs/>
              </w:rPr>
            </w:pPr>
            <w:r>
              <w:rPr>
                <w:szCs w:val="18"/>
              </w:rPr>
              <w:t>Act as lead for specialist projects, identified in-year, in support of Development Team, and wider ODAR, objectives.</w:t>
            </w:r>
          </w:p>
          <w:p w14:paraId="15BF08A6" w14:textId="7B9F5B61" w:rsidR="00485F59" w:rsidRDefault="00485F59" w:rsidP="00485F59">
            <w:r w:rsidRPr="00C91A5C">
              <w:t xml:space="preserve">Perform additional duties as requested or needed by the </w:t>
            </w:r>
            <w:r>
              <w:t>Associate Director of Fundraising</w:t>
            </w:r>
            <w:r w:rsidRPr="00C91A5C">
              <w:t>.</w:t>
            </w:r>
          </w:p>
        </w:tc>
        <w:tc>
          <w:tcPr>
            <w:tcW w:w="1018" w:type="dxa"/>
          </w:tcPr>
          <w:p w14:paraId="15BF08A7" w14:textId="0A9AF810" w:rsidR="00485F59" w:rsidRDefault="00485F59" w:rsidP="00485F59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D81A5D7" w14:textId="66556171" w:rsidR="006D628C" w:rsidRDefault="006D628C" w:rsidP="006D628C">
            <w:r>
              <w:t xml:space="preserve">Director and staff within </w:t>
            </w:r>
            <w:r w:rsidR="003B4741">
              <w:t xml:space="preserve">Office of </w:t>
            </w:r>
            <w:r>
              <w:t>Development &amp; Alumni Relations.</w:t>
            </w:r>
          </w:p>
          <w:p w14:paraId="31C3F695" w14:textId="77777777" w:rsidR="006D628C" w:rsidRDefault="006D628C" w:rsidP="006D628C">
            <w:smartTag w:uri="urn:schemas-microsoft-com:office:smarttags" w:element="PersonName">
              <w:r w:rsidRPr="008D1B2F">
                <w:t>Vice-Chancellor</w:t>
              </w:r>
            </w:smartTag>
            <w:r>
              <w:t>, Senior Management, Deans of Faculty, Schools and Professional Services at all levels.</w:t>
            </w:r>
          </w:p>
          <w:p w14:paraId="45D784ED" w14:textId="7DD97C65" w:rsidR="006D628C" w:rsidRDefault="003B4741" w:rsidP="006D628C">
            <w:r>
              <w:t>Alumni</w:t>
            </w:r>
            <w:r w:rsidR="006D628C">
              <w:t xml:space="preserve"> and supporters of the University.</w:t>
            </w:r>
          </w:p>
          <w:p w14:paraId="1694A8E0" w14:textId="5EDB7DFE" w:rsidR="006D628C" w:rsidRDefault="006D628C" w:rsidP="006D628C">
            <w:r w:rsidRPr="00772078">
              <w:t>Key decision-making and influential individuals with links to other individual</w:t>
            </w:r>
            <w:r w:rsidR="003B4741">
              <w:t>s</w:t>
            </w:r>
            <w:r w:rsidRPr="00772078">
              <w:t xml:space="preserve">, charitable trusts, foundations, lottery bidding and </w:t>
            </w:r>
            <w:r w:rsidR="003B4741">
              <w:t>corporates</w:t>
            </w:r>
            <w:r w:rsidRPr="00772078">
              <w:t>.</w:t>
            </w:r>
          </w:p>
          <w:p w14:paraId="15BF08B0" w14:textId="127006A8" w:rsidR="0012209D" w:rsidRDefault="006D628C" w:rsidP="006D628C">
            <w:r>
              <w:t xml:space="preserve">Internal </w:t>
            </w:r>
            <w:r w:rsidR="003B4741">
              <w:t xml:space="preserve">and External </w:t>
            </w:r>
            <w:r>
              <w:t>suppliers.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ayout w:type="fixed"/>
        <w:tblLook w:val="04A0" w:firstRow="1" w:lastRow="0" w:firstColumn="1" w:lastColumn="0" w:noHBand="0" w:noVBand="1"/>
      </w:tblPr>
      <w:tblGrid>
        <w:gridCol w:w="1555"/>
        <w:gridCol w:w="3477"/>
        <w:gridCol w:w="3468"/>
        <w:gridCol w:w="1251"/>
      </w:tblGrid>
      <w:tr w:rsidR="00013C10" w14:paraId="15BF08BA" w14:textId="77777777" w:rsidTr="007536C9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6D628C" w14:paraId="15BF08BF" w14:textId="77777777" w:rsidTr="007536C9">
        <w:tc>
          <w:tcPr>
            <w:tcW w:w="1555" w:type="dxa"/>
          </w:tcPr>
          <w:p w14:paraId="15BF08BB" w14:textId="1D1872F5" w:rsidR="006D628C" w:rsidRPr="00FD5B0E" w:rsidRDefault="006D628C" w:rsidP="00321CAA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77" w:type="dxa"/>
          </w:tcPr>
          <w:p w14:paraId="64D99CB6" w14:textId="6E6C14EA" w:rsidR="00B62EC5" w:rsidRPr="006C38AA" w:rsidRDefault="00B62EC5" w:rsidP="00B62EC5">
            <w:r w:rsidRPr="00B62EC5">
              <w:t xml:space="preserve">Skill level equivalent to achievement of HND, Degree, NVQ4 or basic professional qualification </w:t>
            </w:r>
            <w:r>
              <w:t>OR relevant work experience.</w:t>
            </w:r>
          </w:p>
          <w:p w14:paraId="5501D01B" w14:textId="178F16AC" w:rsidR="00E12BC8" w:rsidRDefault="00E12BC8" w:rsidP="00E12BC8">
            <w:r>
              <w:t>Fundraising experience – direct knowledge and understanding of cultivating donors and asking them to support a cause.</w:t>
            </w:r>
          </w:p>
          <w:p w14:paraId="360D1A7D" w14:textId="0B84260C" w:rsidR="00E12BC8" w:rsidRDefault="00E12BC8" w:rsidP="00E12BC8">
            <w:r>
              <w:t>Proven project and</w:t>
            </w:r>
            <w:r w:rsidRPr="006C38AA">
              <w:t xml:space="preserve"> people management skills</w:t>
            </w:r>
            <w:r>
              <w:t>.</w:t>
            </w:r>
          </w:p>
          <w:p w14:paraId="717518D8" w14:textId="0CCD2B91" w:rsidR="00E12BC8" w:rsidRPr="006C38AA" w:rsidRDefault="00E12BC8" w:rsidP="00E12BC8">
            <w:r w:rsidRPr="006C38AA">
              <w:t>Able to apply experience and awareness</w:t>
            </w:r>
            <w:r>
              <w:t xml:space="preserve"> of the principles and trends</w:t>
            </w:r>
            <w:r w:rsidRPr="006C38AA">
              <w:t xml:space="preserve"> within fundraising and </w:t>
            </w:r>
            <w:r>
              <w:t>alumni relations</w:t>
            </w:r>
            <w:r w:rsidRPr="006C38AA">
              <w:t>.</w:t>
            </w:r>
          </w:p>
          <w:p w14:paraId="15BF08BC" w14:textId="3F26F7EB" w:rsidR="006D628C" w:rsidRDefault="006D628C" w:rsidP="00E12BC8"/>
        </w:tc>
        <w:tc>
          <w:tcPr>
            <w:tcW w:w="3468" w:type="dxa"/>
          </w:tcPr>
          <w:p w14:paraId="513AD778" w14:textId="1261A032" w:rsidR="00E12BC8" w:rsidRDefault="00E12BC8" w:rsidP="00E12BC8">
            <w:r>
              <w:t xml:space="preserve">Professional knowledge and applied experience in </w:t>
            </w:r>
            <w:r w:rsidR="002454F8">
              <w:t xml:space="preserve">major gifts </w:t>
            </w:r>
            <w:r>
              <w:t>fundraising.</w:t>
            </w:r>
          </w:p>
          <w:p w14:paraId="596900EA" w14:textId="3B1FCBB2" w:rsidR="00E12BC8" w:rsidRDefault="00E12BC8" w:rsidP="00E12BC8">
            <w:r>
              <w:t>E</w:t>
            </w:r>
            <w:r w:rsidRPr="006C38AA">
              <w:t>xperience of managing outcomes in fundraising.</w:t>
            </w:r>
          </w:p>
          <w:p w14:paraId="6DAA00B4" w14:textId="77777777" w:rsidR="006D628C" w:rsidRDefault="006D628C" w:rsidP="00CC67F2">
            <w:r>
              <w:t>Good knowledge of the University of Southampton, its structure and key personnel as well as working knowledge of the major research areas.</w:t>
            </w:r>
          </w:p>
          <w:p w14:paraId="30B8304E" w14:textId="260A2704" w:rsidR="006D628C" w:rsidRDefault="006D628C" w:rsidP="0012209D">
            <w:r>
              <w:t>E</w:t>
            </w:r>
            <w:r w:rsidRPr="006C38AA">
              <w:t>xperience of managing significant change.</w:t>
            </w:r>
          </w:p>
          <w:p w14:paraId="2521EF3D" w14:textId="77777777" w:rsidR="006D628C" w:rsidRDefault="006D628C" w:rsidP="006D628C">
            <w:r w:rsidRPr="006C38AA">
              <w:t>Able to demonstrate an awareness of the theory and practice of a fundraising and advancement</w:t>
            </w:r>
            <w:r>
              <w:t>.</w:t>
            </w:r>
          </w:p>
          <w:p w14:paraId="15BF08BD" w14:textId="21E3B4E7" w:rsidR="006D628C" w:rsidRDefault="006D628C" w:rsidP="006D628C">
            <w:r>
              <w:t>Able to appreciate University priorities and to apply these in managing outcomes.</w:t>
            </w:r>
          </w:p>
        </w:tc>
        <w:tc>
          <w:tcPr>
            <w:tcW w:w="1251" w:type="dxa"/>
          </w:tcPr>
          <w:p w14:paraId="15BF08BE" w14:textId="56806584" w:rsidR="006D628C" w:rsidRDefault="006D628C" w:rsidP="0012209D">
            <w:r>
              <w:t>Application and interview</w:t>
            </w:r>
          </w:p>
        </w:tc>
      </w:tr>
      <w:tr w:rsidR="00C70F48" w14:paraId="15BF08C4" w14:textId="77777777" w:rsidTr="007536C9">
        <w:tc>
          <w:tcPr>
            <w:tcW w:w="1555" w:type="dxa"/>
          </w:tcPr>
          <w:p w14:paraId="15BF08C0" w14:textId="3570CEEC" w:rsidR="00C70F48" w:rsidRPr="00FD5B0E" w:rsidRDefault="00C70F48" w:rsidP="00321CAA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77" w:type="dxa"/>
          </w:tcPr>
          <w:p w14:paraId="0CC33B07" w14:textId="31CCF38D" w:rsidR="00C70F48" w:rsidRDefault="00C70F48" w:rsidP="00CC67F2">
            <w:r>
              <w:t>Well organised and self-motivated</w:t>
            </w:r>
            <w:r w:rsidR="00E12BC8">
              <w:t>.</w:t>
            </w:r>
          </w:p>
          <w:p w14:paraId="15BF08C1" w14:textId="1AB80465" w:rsidR="00C70F48" w:rsidRDefault="00C70F48" w:rsidP="00E12BC8">
            <w:r>
              <w:t>Excellent at working to tight deadlines</w:t>
            </w:r>
            <w:r w:rsidR="00E12BC8">
              <w:t xml:space="preserve"> and able to manage and prioritise a team’s </w:t>
            </w:r>
            <w:r>
              <w:t>activities.</w:t>
            </w:r>
          </w:p>
        </w:tc>
        <w:tc>
          <w:tcPr>
            <w:tcW w:w="3468" w:type="dxa"/>
          </w:tcPr>
          <w:p w14:paraId="23598C59" w14:textId="77777777" w:rsidR="00C70F48" w:rsidRDefault="00C70F48" w:rsidP="00C70F48">
            <w:r w:rsidRPr="006C38AA">
              <w:t>Able to plan and manage new projects or new activities, ensuring plans complement broader operational strategy.</w:t>
            </w:r>
          </w:p>
          <w:p w14:paraId="15BF08C2" w14:textId="77777777" w:rsidR="00C70F48" w:rsidRDefault="00C70F48" w:rsidP="0012209D"/>
        </w:tc>
        <w:tc>
          <w:tcPr>
            <w:tcW w:w="1251" w:type="dxa"/>
          </w:tcPr>
          <w:p w14:paraId="15BF08C3" w14:textId="413D47FA" w:rsidR="00C70F48" w:rsidRDefault="00C70F48" w:rsidP="0012209D">
            <w:r>
              <w:t>Application and interview</w:t>
            </w:r>
          </w:p>
        </w:tc>
      </w:tr>
      <w:tr w:rsidR="00C70F48" w14:paraId="15BF08C9" w14:textId="77777777" w:rsidTr="007536C9">
        <w:tc>
          <w:tcPr>
            <w:tcW w:w="1555" w:type="dxa"/>
          </w:tcPr>
          <w:p w14:paraId="15BF08C5" w14:textId="132535D4" w:rsidR="00C70F48" w:rsidRPr="00FD5B0E" w:rsidRDefault="00C70F48" w:rsidP="00321CAA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77" w:type="dxa"/>
          </w:tcPr>
          <w:p w14:paraId="4A0C0603" w14:textId="6CB3A33C" w:rsidR="00C70F48" w:rsidRPr="00BF59DC" w:rsidRDefault="00C70F48" w:rsidP="00CC67F2">
            <w:r w:rsidRPr="00BF59DC">
              <w:t xml:space="preserve">Able to </w:t>
            </w:r>
            <w:r>
              <w:t>develop understanding of complex problems and to apply professional knowledge and experience to solve them.</w:t>
            </w:r>
          </w:p>
          <w:p w14:paraId="4A4F82CC" w14:textId="35F35E07" w:rsidR="00C70F48" w:rsidRDefault="00C70F48" w:rsidP="00CC67F2">
            <w:r>
              <w:t>Able to independently organise own workload and prioriti</w:t>
            </w:r>
            <w:r w:rsidR="00703CA4">
              <w:t>se</w:t>
            </w:r>
            <w:r>
              <w:t xml:space="preserve"> multiple asks.</w:t>
            </w:r>
          </w:p>
          <w:p w14:paraId="15BF08C6" w14:textId="6759A08D" w:rsidR="00C70F48" w:rsidRDefault="00C70F48" w:rsidP="0012209D">
            <w:r>
              <w:t>Able to recognise the impact of own activities on the workload of others.</w:t>
            </w:r>
          </w:p>
        </w:tc>
        <w:tc>
          <w:tcPr>
            <w:tcW w:w="3468" w:type="dxa"/>
          </w:tcPr>
          <w:p w14:paraId="54D84CE2" w14:textId="77777777" w:rsidR="00C70F48" w:rsidRDefault="00C70F48" w:rsidP="00CC67F2">
            <w:r w:rsidRPr="00BF59DC">
              <w:t xml:space="preserve">Able to </w:t>
            </w:r>
            <w:r>
              <w:t>identify broad trends to assess deep-rooted and complex issues.</w:t>
            </w:r>
          </w:p>
          <w:p w14:paraId="15BF08C7" w14:textId="17FC1C98" w:rsidR="00C70F48" w:rsidRDefault="00C70F48" w:rsidP="00E12BC8">
            <w:r>
              <w:t xml:space="preserve">Able to apply </w:t>
            </w:r>
            <w:r w:rsidR="00E12BC8">
              <w:t>creativity</w:t>
            </w:r>
            <w:r>
              <w:t xml:space="preserve"> in modifying existing approaches to solve problems.</w:t>
            </w:r>
          </w:p>
        </w:tc>
        <w:tc>
          <w:tcPr>
            <w:tcW w:w="1251" w:type="dxa"/>
          </w:tcPr>
          <w:p w14:paraId="15BF08C8" w14:textId="66FF0B3F" w:rsidR="00C70F48" w:rsidRDefault="00C70F48" w:rsidP="0012209D">
            <w:r>
              <w:t>Application and interview</w:t>
            </w:r>
          </w:p>
        </w:tc>
      </w:tr>
      <w:tr w:rsidR="00C70F48" w14:paraId="15BF08CE" w14:textId="77777777" w:rsidTr="007536C9">
        <w:tc>
          <w:tcPr>
            <w:tcW w:w="1555" w:type="dxa"/>
          </w:tcPr>
          <w:p w14:paraId="15BF08CA" w14:textId="20074198" w:rsidR="00C70F48" w:rsidRPr="00FD5B0E" w:rsidRDefault="00C70F48" w:rsidP="00E804B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77" w:type="dxa"/>
          </w:tcPr>
          <w:p w14:paraId="42D4C600" w14:textId="7DD3819F" w:rsidR="00C70F48" w:rsidRDefault="00C70F48" w:rsidP="00CC67F2">
            <w:r>
              <w:t xml:space="preserve">Able to delegate effectively, understanding the strengths and weaknesses of team members </w:t>
            </w:r>
            <w:r w:rsidR="00681511">
              <w:t>and</w:t>
            </w:r>
            <w:r>
              <w:t xml:space="preserve"> build effective teamwork.</w:t>
            </w:r>
          </w:p>
          <w:p w14:paraId="042329E1" w14:textId="77777777" w:rsidR="00681511" w:rsidRDefault="00E12BC8" w:rsidP="00681511">
            <w:r>
              <w:t>Applied experience of, or the understanding and willingness to experience, supportive line-management, ensuring the wellbeing of colleagues as well as the achievem</w:t>
            </w:r>
            <w:r w:rsidR="00681511">
              <w:t>ent of outcomes and objectives.</w:t>
            </w:r>
          </w:p>
          <w:p w14:paraId="756F11E9" w14:textId="3EECF1C6" w:rsidR="00681511" w:rsidRDefault="00681511" w:rsidP="00681511">
            <w:r>
              <w:lastRenderedPageBreak/>
              <w:t>Able to proactively work with colleagues in other work areas to achieve positive outcomes.</w:t>
            </w:r>
          </w:p>
          <w:p w14:paraId="71CF6654" w14:textId="77777777" w:rsidR="00681511" w:rsidRDefault="00681511" w:rsidP="00681511">
            <w:r w:rsidRPr="00BF59DC">
              <w:t>Able to proactively work with senior managers across the University to achieve key deliverables</w:t>
            </w:r>
            <w:r>
              <w:t>.</w:t>
            </w:r>
          </w:p>
          <w:p w14:paraId="15BF08CB" w14:textId="7E85413F" w:rsidR="00E12BC8" w:rsidRDefault="00E12BC8" w:rsidP="0012209D"/>
        </w:tc>
        <w:tc>
          <w:tcPr>
            <w:tcW w:w="3468" w:type="dxa"/>
          </w:tcPr>
          <w:p w14:paraId="5DC9D379" w14:textId="77777777" w:rsidR="00C70F48" w:rsidRPr="00BF59DC" w:rsidRDefault="00C70F48" w:rsidP="00C70F48">
            <w:r w:rsidRPr="00BF59DC">
              <w:lastRenderedPageBreak/>
              <w:t>Able to manage team dynamics, ensuring any potential for conflict is managed effectively.</w:t>
            </w:r>
          </w:p>
          <w:p w14:paraId="22C2B66E" w14:textId="77777777" w:rsidR="00C70F48" w:rsidRPr="00681511" w:rsidRDefault="00C70F48" w:rsidP="00C70F48">
            <w:pPr>
              <w:rPr>
                <w:szCs w:val="18"/>
              </w:rPr>
            </w:pPr>
            <w:r w:rsidRPr="00BF59DC">
              <w:t xml:space="preserve">Able to foster positive relationships </w:t>
            </w:r>
            <w:r w:rsidRPr="00681511">
              <w:rPr>
                <w:szCs w:val="18"/>
              </w:rPr>
              <w:t>both within and outside the department.</w:t>
            </w:r>
          </w:p>
          <w:p w14:paraId="22DD5BE6" w14:textId="282F75FF" w:rsidR="00C70F48" w:rsidRPr="00681511" w:rsidRDefault="00C70F48" w:rsidP="00C70F48">
            <w:pPr>
              <w:rPr>
                <w:szCs w:val="18"/>
              </w:rPr>
            </w:pPr>
            <w:r w:rsidRPr="00681511">
              <w:rPr>
                <w:szCs w:val="18"/>
              </w:rPr>
              <w:t>Able to provide expert guidance and advice to colleagues to resolve complex problems.</w:t>
            </w:r>
          </w:p>
          <w:p w14:paraId="211B5A67" w14:textId="0F761439" w:rsidR="00C70F48" w:rsidRPr="00681511" w:rsidRDefault="00C70F48" w:rsidP="00C70F48">
            <w:pPr>
              <w:rPr>
                <w:rFonts w:cs="Calibri"/>
                <w:color w:val="000000"/>
                <w:szCs w:val="18"/>
              </w:rPr>
            </w:pPr>
            <w:r w:rsidRPr="00681511">
              <w:rPr>
                <w:rFonts w:cs="Calibri"/>
                <w:color w:val="000000"/>
                <w:szCs w:val="18"/>
              </w:rPr>
              <w:lastRenderedPageBreak/>
              <w:t>Experience of inspiring and leadin</w:t>
            </w:r>
            <w:r w:rsidR="00681511">
              <w:rPr>
                <w:rFonts w:cs="Calibri"/>
                <w:color w:val="000000"/>
                <w:szCs w:val="18"/>
              </w:rPr>
              <w:t>g others to achieve in a target-</w:t>
            </w:r>
            <w:r w:rsidRPr="00681511">
              <w:rPr>
                <w:rFonts w:cs="Calibri"/>
                <w:color w:val="000000"/>
                <w:szCs w:val="18"/>
              </w:rPr>
              <w:t>driven environment</w:t>
            </w:r>
            <w:r w:rsidR="00681511">
              <w:rPr>
                <w:rFonts w:cs="Calibri"/>
                <w:color w:val="000000"/>
                <w:szCs w:val="18"/>
              </w:rPr>
              <w:t>.</w:t>
            </w:r>
          </w:p>
          <w:p w14:paraId="3167DEB6" w14:textId="7AB21535" w:rsidR="00C70F48" w:rsidRPr="00681511" w:rsidRDefault="00C70F48" w:rsidP="00C70F48">
            <w:pPr>
              <w:rPr>
                <w:szCs w:val="18"/>
              </w:rPr>
            </w:pPr>
            <w:r w:rsidRPr="00681511">
              <w:rPr>
                <w:rFonts w:cs="Calibri"/>
                <w:color w:val="000000"/>
                <w:szCs w:val="18"/>
              </w:rPr>
              <w:t>Line management experience</w:t>
            </w:r>
            <w:r w:rsidR="00681511">
              <w:rPr>
                <w:rFonts w:cs="Calibri"/>
                <w:color w:val="000000"/>
                <w:szCs w:val="18"/>
              </w:rPr>
              <w:t>.</w:t>
            </w:r>
          </w:p>
          <w:p w14:paraId="15BF08CC" w14:textId="77777777" w:rsidR="00C70F48" w:rsidRDefault="00C70F48" w:rsidP="0012209D"/>
        </w:tc>
        <w:tc>
          <w:tcPr>
            <w:tcW w:w="1251" w:type="dxa"/>
          </w:tcPr>
          <w:p w14:paraId="15BF08CD" w14:textId="615F7063" w:rsidR="00C70F48" w:rsidRDefault="00C70F48" w:rsidP="0012209D">
            <w:r>
              <w:lastRenderedPageBreak/>
              <w:t>Application and interview</w:t>
            </w:r>
          </w:p>
        </w:tc>
      </w:tr>
      <w:tr w:rsidR="00C70F48" w14:paraId="15BF08D3" w14:textId="77777777" w:rsidTr="007536C9">
        <w:tc>
          <w:tcPr>
            <w:tcW w:w="1555" w:type="dxa"/>
          </w:tcPr>
          <w:p w14:paraId="15BF08CF" w14:textId="3C87E5CF" w:rsidR="00C70F48" w:rsidRPr="00FD5B0E" w:rsidRDefault="00C70F48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77" w:type="dxa"/>
          </w:tcPr>
          <w:p w14:paraId="0440B406" w14:textId="335A9368" w:rsidR="00681511" w:rsidRDefault="00681511" w:rsidP="00681511">
            <w:r>
              <w:t>Confident and experienced at face-to-face networking and able to engage in conversation about business priorities.</w:t>
            </w:r>
          </w:p>
          <w:p w14:paraId="573F062D" w14:textId="77777777" w:rsidR="00681511" w:rsidRPr="007168E5" w:rsidRDefault="00681511" w:rsidP="00681511">
            <w:r w:rsidRPr="007168E5">
              <w:t>Outstanding written communication and good oral communication skills, demonstrating honesty and integrity in all interactions.</w:t>
            </w:r>
          </w:p>
          <w:p w14:paraId="1B8FCFD5" w14:textId="16C0E573" w:rsidR="00C70F48" w:rsidRDefault="00681511" w:rsidP="00CC67F2">
            <w:r>
              <w:t>Highly developed interpersonal skills</w:t>
            </w:r>
            <w:r w:rsidRPr="007168E5">
              <w:t xml:space="preserve"> </w:t>
            </w:r>
            <w:r>
              <w:t xml:space="preserve">and ability </w:t>
            </w:r>
            <w:r w:rsidR="00C70F48" w:rsidRPr="007168E5">
              <w:t>to persuade and influence in order to foster and maintain relationships.</w:t>
            </w:r>
          </w:p>
          <w:p w14:paraId="5D95ED92" w14:textId="77777777" w:rsidR="00C70F48" w:rsidRDefault="00C70F48" w:rsidP="00CC67F2">
            <w:r>
              <w:t>Able to deal with sensitive information with integrity and in a confidential manner.</w:t>
            </w:r>
          </w:p>
          <w:p w14:paraId="15BF08D0" w14:textId="77777777" w:rsidR="00C70F48" w:rsidRDefault="00C70F48" w:rsidP="00681511"/>
        </w:tc>
        <w:tc>
          <w:tcPr>
            <w:tcW w:w="3468" w:type="dxa"/>
          </w:tcPr>
          <w:p w14:paraId="3617FF40" w14:textId="77777777" w:rsidR="00C70F48" w:rsidRPr="007168E5" w:rsidRDefault="00C70F48" w:rsidP="00C70F48">
            <w:r w:rsidRPr="007168E5">
              <w:t>Able to resolve tensions and difficulties as they arise.</w:t>
            </w:r>
          </w:p>
          <w:p w14:paraId="3908FD2A" w14:textId="77777777" w:rsidR="00C70F48" w:rsidRPr="007168E5" w:rsidRDefault="00C70F48" w:rsidP="00C70F48">
            <w:r w:rsidRPr="007168E5">
              <w:t>Ability to establish and maintain positive relationships with a wide range of people, acting with high credibility at a senior level.</w:t>
            </w:r>
          </w:p>
          <w:p w14:paraId="12460FF3" w14:textId="77777777" w:rsidR="00681511" w:rsidRDefault="00C70F48" w:rsidP="00681511">
            <w:r w:rsidRPr="007168E5">
              <w:t>An articulate and confident manner, demonstrating sensitivity and diplomacy in order to work with colleagues and donors who are sensitive and/or highly enthused about philanthropic gifts.</w:t>
            </w:r>
          </w:p>
          <w:p w14:paraId="3141E454" w14:textId="6255D7D6" w:rsidR="00681511" w:rsidRDefault="00681511" w:rsidP="00681511">
            <w:r>
              <w:t>Able to offer appropriate proactive advice on guidance on specialist procedures.</w:t>
            </w:r>
          </w:p>
          <w:p w14:paraId="15BF08D1" w14:textId="28E50CC0" w:rsidR="00C70F48" w:rsidRDefault="00C70F48" w:rsidP="00C70F48"/>
        </w:tc>
        <w:tc>
          <w:tcPr>
            <w:tcW w:w="1251" w:type="dxa"/>
          </w:tcPr>
          <w:p w14:paraId="15BF08D2" w14:textId="25677383" w:rsidR="00C70F48" w:rsidRDefault="00C70F48" w:rsidP="0012209D">
            <w:r>
              <w:t>Application and interview</w:t>
            </w:r>
          </w:p>
        </w:tc>
      </w:tr>
      <w:tr w:rsidR="00C70F48" w14:paraId="15BF08D8" w14:textId="77777777" w:rsidTr="007536C9">
        <w:tc>
          <w:tcPr>
            <w:tcW w:w="1555" w:type="dxa"/>
          </w:tcPr>
          <w:p w14:paraId="15BF08D4" w14:textId="318610B2" w:rsidR="00C70F48" w:rsidRPr="00FD5B0E" w:rsidRDefault="00C70F48" w:rsidP="00E804B0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77" w:type="dxa"/>
          </w:tcPr>
          <w:p w14:paraId="2E2F3A30" w14:textId="6D24F780" w:rsidR="00ED107E" w:rsidRPr="002454F8" w:rsidRDefault="002454F8" w:rsidP="00ED107E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>Experience of demonstrating the behaviours and approach to work expected by the University’s Equality, Diversity and Inclusion strategy</w:t>
            </w:r>
            <w:r w:rsidR="00ED107E" w:rsidRPr="002454F8">
              <w:rPr>
                <w:szCs w:val="18"/>
              </w:rPr>
              <w:t>:</w:t>
            </w:r>
          </w:p>
          <w:p w14:paraId="64D80C7E" w14:textId="77777777" w:rsidR="00ED107E" w:rsidRPr="002454F8" w:rsidRDefault="00000000" w:rsidP="00ED107E">
            <w:pPr>
              <w:spacing w:after="90"/>
              <w:rPr>
                <w:szCs w:val="18"/>
              </w:rPr>
            </w:pPr>
            <w:hyperlink r:id="rId11" w:history="1">
              <w:r w:rsidR="00ED107E" w:rsidRPr="002454F8">
                <w:rPr>
                  <w:rStyle w:val="Hyperlink"/>
                  <w:szCs w:val="18"/>
                </w:rPr>
                <w:t>https://www.southampton.ac.uk/diversity/our-commitment/index.page</w:t>
              </w:r>
            </w:hyperlink>
          </w:p>
          <w:p w14:paraId="4F641B6F" w14:textId="77777777" w:rsidR="00ED107E" w:rsidRPr="002454F8" w:rsidRDefault="00ED107E" w:rsidP="00ED107E">
            <w:pPr>
              <w:spacing w:after="90"/>
              <w:rPr>
                <w:szCs w:val="18"/>
              </w:rPr>
            </w:pPr>
          </w:p>
          <w:p w14:paraId="4E7D4D1C" w14:textId="2615C470" w:rsidR="00ED107E" w:rsidRPr="002454F8" w:rsidRDefault="002454F8" w:rsidP="00ED107E">
            <w:pPr>
              <w:spacing w:after="90"/>
              <w:rPr>
                <w:szCs w:val="18"/>
              </w:rPr>
            </w:pPr>
            <w:r w:rsidRPr="002454F8">
              <w:rPr>
                <w:szCs w:val="18"/>
              </w:rPr>
              <w:t>Experience of demonstrating</w:t>
            </w:r>
            <w:r w:rsidR="00ED107E" w:rsidRPr="002454F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 approach to work as detailed in </w:t>
            </w:r>
            <w:r w:rsidR="00ED107E" w:rsidRPr="002454F8">
              <w:rPr>
                <w:szCs w:val="18"/>
              </w:rPr>
              <w:t>the Southampton Behaviours:</w:t>
            </w:r>
          </w:p>
          <w:p w14:paraId="15BF08D5" w14:textId="4B274FCA" w:rsidR="00C70F48" w:rsidRPr="002454F8" w:rsidRDefault="00000000" w:rsidP="00ED107E">
            <w:pPr>
              <w:rPr>
                <w:szCs w:val="18"/>
              </w:rPr>
            </w:pPr>
            <w:hyperlink r:id="rId12" w:history="1">
              <w:r w:rsidR="00ED107E" w:rsidRPr="002454F8">
                <w:rPr>
                  <w:rStyle w:val="Hyperlink"/>
                  <w:rFonts w:cstheme="minorHAnsi"/>
                  <w:szCs w:val="18"/>
                </w:rPr>
                <w:t>https://www.southampton.ac.uk/~assets/doc/hr/Southampton%20Behaviours.pdf</w:t>
              </w:r>
            </w:hyperlink>
          </w:p>
        </w:tc>
        <w:tc>
          <w:tcPr>
            <w:tcW w:w="3468" w:type="dxa"/>
          </w:tcPr>
          <w:p w14:paraId="15BF08D6" w14:textId="5AC86E7B" w:rsidR="00C70F48" w:rsidRDefault="00C70F48" w:rsidP="0012209D">
            <w:r w:rsidRPr="00464549">
              <w:t xml:space="preserve">Able to think creatively to find solutions to key </w:t>
            </w:r>
            <w:r>
              <w:t>issues of University importan</w:t>
            </w:r>
            <w:r w:rsidRPr="00464549">
              <w:t>ce</w:t>
            </w:r>
            <w:r>
              <w:t>.</w:t>
            </w:r>
          </w:p>
        </w:tc>
        <w:tc>
          <w:tcPr>
            <w:tcW w:w="1251" w:type="dxa"/>
          </w:tcPr>
          <w:p w14:paraId="15BF08D7" w14:textId="077FDADD" w:rsidR="00C70F48" w:rsidRDefault="00C70F48" w:rsidP="0012209D">
            <w:r>
              <w:t>Application and interview</w:t>
            </w:r>
          </w:p>
        </w:tc>
      </w:tr>
      <w:tr w:rsidR="00C70F48" w14:paraId="15BF08DD" w14:textId="77777777" w:rsidTr="007536C9">
        <w:tc>
          <w:tcPr>
            <w:tcW w:w="1555" w:type="dxa"/>
          </w:tcPr>
          <w:p w14:paraId="15BF08D9" w14:textId="77777777" w:rsidR="00C70F48" w:rsidRPr="00FD5B0E" w:rsidRDefault="00C70F48" w:rsidP="00321CAA">
            <w:r w:rsidRPr="00FD5B0E">
              <w:t>Special requirements</w:t>
            </w:r>
          </w:p>
        </w:tc>
        <w:tc>
          <w:tcPr>
            <w:tcW w:w="3477" w:type="dxa"/>
          </w:tcPr>
          <w:p w14:paraId="4980983C" w14:textId="77777777" w:rsidR="00C70F48" w:rsidRDefault="00C70F48" w:rsidP="006D628C">
            <w:r>
              <w:t>There is a need for the post holder to be flexible to work outside normal hours, eg: weekends and evenings, where necessary to support that range of activity and at peak times.</w:t>
            </w:r>
          </w:p>
          <w:p w14:paraId="15BF08DA" w14:textId="655D19E6" w:rsidR="00C70F48" w:rsidRDefault="00C70F48" w:rsidP="006D628C">
            <w:r>
              <w:t>A willingness to travel is required as it will be necessary to fulfil the requirements of this role.</w:t>
            </w:r>
          </w:p>
        </w:tc>
        <w:tc>
          <w:tcPr>
            <w:tcW w:w="3468" w:type="dxa"/>
          </w:tcPr>
          <w:p w14:paraId="15BF08DB" w14:textId="77777777" w:rsidR="00C70F48" w:rsidRDefault="00C70F48" w:rsidP="0012209D"/>
        </w:tc>
        <w:tc>
          <w:tcPr>
            <w:tcW w:w="1251" w:type="dxa"/>
          </w:tcPr>
          <w:p w14:paraId="15BF08DC" w14:textId="4EFC0569" w:rsidR="00C70F48" w:rsidRDefault="00C70F48" w:rsidP="0012209D"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C3947CE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0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091258B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10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0C310F48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6A548F9" w:rsidR="0012209D" w:rsidRPr="00ED107E" w:rsidRDefault="00ED107E" w:rsidP="00321CAA">
            <w:pPr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ED107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5A0C97F" w:rsidR="0012209D" w:rsidRPr="009957AE" w:rsidRDefault="00ED107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ED107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84CE" w14:textId="77777777" w:rsidR="002A7ABC" w:rsidRDefault="002A7ABC">
      <w:r>
        <w:separator/>
      </w:r>
    </w:p>
    <w:p w14:paraId="4215AEEC" w14:textId="77777777" w:rsidR="002A7ABC" w:rsidRDefault="002A7ABC"/>
  </w:endnote>
  <w:endnote w:type="continuationSeparator" w:id="0">
    <w:p w14:paraId="5BA8426D" w14:textId="77777777" w:rsidR="002A7ABC" w:rsidRDefault="002A7ABC">
      <w:r>
        <w:continuationSeparator/>
      </w:r>
    </w:p>
    <w:p w14:paraId="6109290F" w14:textId="77777777" w:rsidR="002A7ABC" w:rsidRDefault="002A7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5BBE" w14:textId="77777777" w:rsidR="004B65B3" w:rsidRDefault="004B6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DE4A105" w:rsidR="00062768" w:rsidRDefault="00B62EC5" w:rsidP="00B62EC5">
    <w:pPr>
      <w:pStyle w:val="ContinuationFooter"/>
      <w:jc w:val="left"/>
    </w:pPr>
    <w:r>
      <w:t xml:space="preserve">Development Manager JD </w:t>
    </w:r>
    <w:r w:rsidR="004B65B3">
      <w:t>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FD23" w14:textId="77777777" w:rsidR="004B65B3" w:rsidRDefault="004B6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7C8D" w14:textId="77777777" w:rsidR="002A7ABC" w:rsidRDefault="002A7ABC">
      <w:r>
        <w:separator/>
      </w:r>
    </w:p>
    <w:p w14:paraId="462D0244" w14:textId="77777777" w:rsidR="002A7ABC" w:rsidRDefault="002A7ABC"/>
  </w:footnote>
  <w:footnote w:type="continuationSeparator" w:id="0">
    <w:p w14:paraId="30BB6F6F" w14:textId="77777777" w:rsidR="002A7ABC" w:rsidRDefault="002A7ABC">
      <w:r>
        <w:continuationSeparator/>
      </w:r>
    </w:p>
    <w:p w14:paraId="21AED1F0" w14:textId="77777777" w:rsidR="002A7ABC" w:rsidRDefault="002A7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26F8" w14:textId="77777777" w:rsidR="004B65B3" w:rsidRDefault="004B6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EDB3" w14:textId="77777777" w:rsidR="004B65B3" w:rsidRDefault="004B6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9890621">
    <w:abstractNumId w:val="17"/>
  </w:num>
  <w:num w:numId="2" w16cid:durableId="1000427457">
    <w:abstractNumId w:val="0"/>
  </w:num>
  <w:num w:numId="3" w16cid:durableId="1240211770">
    <w:abstractNumId w:val="13"/>
  </w:num>
  <w:num w:numId="4" w16cid:durableId="354619889">
    <w:abstractNumId w:val="9"/>
  </w:num>
  <w:num w:numId="5" w16cid:durableId="2066175761">
    <w:abstractNumId w:val="10"/>
  </w:num>
  <w:num w:numId="6" w16cid:durableId="1033921683">
    <w:abstractNumId w:val="7"/>
  </w:num>
  <w:num w:numId="7" w16cid:durableId="1126117502">
    <w:abstractNumId w:val="3"/>
  </w:num>
  <w:num w:numId="8" w16cid:durableId="1620182864">
    <w:abstractNumId w:val="5"/>
  </w:num>
  <w:num w:numId="9" w16cid:durableId="1607807553">
    <w:abstractNumId w:val="1"/>
  </w:num>
  <w:num w:numId="10" w16cid:durableId="259217052">
    <w:abstractNumId w:val="8"/>
  </w:num>
  <w:num w:numId="11" w16cid:durableId="267854454">
    <w:abstractNumId w:val="4"/>
  </w:num>
  <w:num w:numId="12" w16cid:durableId="1368064606">
    <w:abstractNumId w:val="14"/>
  </w:num>
  <w:num w:numId="13" w16cid:durableId="2090032858">
    <w:abstractNumId w:val="15"/>
  </w:num>
  <w:num w:numId="14" w16cid:durableId="1228299903">
    <w:abstractNumId w:val="6"/>
  </w:num>
  <w:num w:numId="15" w16cid:durableId="1681540648">
    <w:abstractNumId w:val="2"/>
  </w:num>
  <w:num w:numId="16" w16cid:durableId="12651740">
    <w:abstractNumId w:val="11"/>
  </w:num>
  <w:num w:numId="17" w16cid:durableId="1089304180">
    <w:abstractNumId w:val="12"/>
  </w:num>
  <w:num w:numId="18" w16cid:durableId="139304132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F6FE6"/>
    <w:rsid w:val="0012209D"/>
    <w:rsid w:val="001532E2"/>
    <w:rsid w:val="00156F2F"/>
    <w:rsid w:val="00164400"/>
    <w:rsid w:val="0018144C"/>
    <w:rsid w:val="001840EA"/>
    <w:rsid w:val="00194432"/>
    <w:rsid w:val="001B5521"/>
    <w:rsid w:val="001B6986"/>
    <w:rsid w:val="001C5C5C"/>
    <w:rsid w:val="001D0B37"/>
    <w:rsid w:val="001D5201"/>
    <w:rsid w:val="001E24BE"/>
    <w:rsid w:val="0020245D"/>
    <w:rsid w:val="00205458"/>
    <w:rsid w:val="00236BFE"/>
    <w:rsid w:val="00241441"/>
    <w:rsid w:val="0024539C"/>
    <w:rsid w:val="002454F8"/>
    <w:rsid w:val="00254722"/>
    <w:rsid w:val="002547F5"/>
    <w:rsid w:val="00260333"/>
    <w:rsid w:val="00260B1D"/>
    <w:rsid w:val="00261262"/>
    <w:rsid w:val="00266C6A"/>
    <w:rsid w:val="0028509A"/>
    <w:rsid w:val="00294BD0"/>
    <w:rsid w:val="0029789A"/>
    <w:rsid w:val="002A70BE"/>
    <w:rsid w:val="002A7ABC"/>
    <w:rsid w:val="002B6F68"/>
    <w:rsid w:val="002B74B1"/>
    <w:rsid w:val="002B76A0"/>
    <w:rsid w:val="002C6198"/>
    <w:rsid w:val="002D4DF4"/>
    <w:rsid w:val="00313CC8"/>
    <w:rsid w:val="003178D9"/>
    <w:rsid w:val="0034151E"/>
    <w:rsid w:val="00364B2C"/>
    <w:rsid w:val="003701F7"/>
    <w:rsid w:val="003B0262"/>
    <w:rsid w:val="003B4741"/>
    <w:rsid w:val="003B7540"/>
    <w:rsid w:val="004263FE"/>
    <w:rsid w:val="00450C6D"/>
    <w:rsid w:val="00463797"/>
    <w:rsid w:val="00474D00"/>
    <w:rsid w:val="00485F59"/>
    <w:rsid w:val="004A5EC3"/>
    <w:rsid w:val="004B2A50"/>
    <w:rsid w:val="004B65B3"/>
    <w:rsid w:val="004C0252"/>
    <w:rsid w:val="0051744C"/>
    <w:rsid w:val="00524005"/>
    <w:rsid w:val="0053706B"/>
    <w:rsid w:val="00541CE0"/>
    <w:rsid w:val="005534E1"/>
    <w:rsid w:val="00573487"/>
    <w:rsid w:val="00580CBF"/>
    <w:rsid w:val="005907B3"/>
    <w:rsid w:val="005949FA"/>
    <w:rsid w:val="005B57C1"/>
    <w:rsid w:val="005D44D1"/>
    <w:rsid w:val="006249FD"/>
    <w:rsid w:val="00651280"/>
    <w:rsid w:val="00671AD7"/>
    <w:rsid w:val="00680547"/>
    <w:rsid w:val="00681511"/>
    <w:rsid w:val="00686E00"/>
    <w:rsid w:val="00695D76"/>
    <w:rsid w:val="006A043F"/>
    <w:rsid w:val="006B1AF6"/>
    <w:rsid w:val="006D628C"/>
    <w:rsid w:val="006E5CAE"/>
    <w:rsid w:val="006F44EB"/>
    <w:rsid w:val="006F4D21"/>
    <w:rsid w:val="0070376B"/>
    <w:rsid w:val="00703CA4"/>
    <w:rsid w:val="007536C9"/>
    <w:rsid w:val="00761108"/>
    <w:rsid w:val="0076634E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3CC9"/>
    <w:rsid w:val="008A1B37"/>
    <w:rsid w:val="008D52C9"/>
    <w:rsid w:val="008E7F4A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9A2021"/>
    <w:rsid w:val="009E25D6"/>
    <w:rsid w:val="009E5ECC"/>
    <w:rsid w:val="00A021B7"/>
    <w:rsid w:val="00A131D9"/>
    <w:rsid w:val="00A14888"/>
    <w:rsid w:val="00A14D37"/>
    <w:rsid w:val="00A23226"/>
    <w:rsid w:val="00A34296"/>
    <w:rsid w:val="00A521A9"/>
    <w:rsid w:val="00A925C0"/>
    <w:rsid w:val="00AA36F5"/>
    <w:rsid w:val="00AA3CB5"/>
    <w:rsid w:val="00AB088D"/>
    <w:rsid w:val="00AC2B17"/>
    <w:rsid w:val="00AE1CA0"/>
    <w:rsid w:val="00AE39DC"/>
    <w:rsid w:val="00AE4DC4"/>
    <w:rsid w:val="00B430BB"/>
    <w:rsid w:val="00B62EC5"/>
    <w:rsid w:val="00B84C12"/>
    <w:rsid w:val="00B91EB8"/>
    <w:rsid w:val="00BA6D04"/>
    <w:rsid w:val="00BB4A42"/>
    <w:rsid w:val="00BB7845"/>
    <w:rsid w:val="00BF1CC6"/>
    <w:rsid w:val="00BF3DA8"/>
    <w:rsid w:val="00BF4A70"/>
    <w:rsid w:val="00C36425"/>
    <w:rsid w:val="00C70F48"/>
    <w:rsid w:val="00C907D0"/>
    <w:rsid w:val="00CB1F23"/>
    <w:rsid w:val="00CB376F"/>
    <w:rsid w:val="00CB5BE2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F6CBA"/>
    <w:rsid w:val="00E12BC8"/>
    <w:rsid w:val="00E25775"/>
    <w:rsid w:val="00E264FD"/>
    <w:rsid w:val="00E363B8"/>
    <w:rsid w:val="00E47F54"/>
    <w:rsid w:val="00E63AC1"/>
    <w:rsid w:val="00E74E7B"/>
    <w:rsid w:val="00E804B0"/>
    <w:rsid w:val="00E96015"/>
    <w:rsid w:val="00ED107E"/>
    <w:rsid w:val="00ED2E52"/>
    <w:rsid w:val="00F01EA0"/>
    <w:rsid w:val="00F27D02"/>
    <w:rsid w:val="00F378D2"/>
    <w:rsid w:val="00F70A96"/>
    <w:rsid w:val="00F83BD2"/>
    <w:rsid w:val="00F85DED"/>
    <w:rsid w:val="00F90F90"/>
    <w:rsid w:val="00FB7297"/>
    <w:rsid w:val="00FC05E6"/>
    <w:rsid w:val="00FC236C"/>
    <w:rsid w:val="00FC2ADA"/>
    <w:rsid w:val="00FD27CB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E7890A3-5DD6-4D82-81E2-B06FA35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2454F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A1B3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~assets/doc/hr/Southampton%20Behaviour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diversity/our-commitment/index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055CF27F17942B40EA858189F59E6" ma:contentTypeVersion="4" ma:contentTypeDescription="Create a new document." ma:contentTypeScope="" ma:versionID="e5d5d5f5c5044b45871c3eb7c3c5bc1f">
  <xsd:schema xmlns:xsd="http://www.w3.org/2001/XMLSchema" xmlns:xs="http://www.w3.org/2001/XMLSchema" xmlns:p="http://schemas.microsoft.com/office/2006/metadata/properties" xmlns:ns2="d606d057-8d4f-48ce-af13-2df58fbee830" targetNamespace="http://schemas.microsoft.com/office/2006/metadata/properties" ma:root="true" ma:fieldsID="83404c6ca64e6b52f36369984aaf4d67" ns2:_="">
    <xsd:import namespace="d606d057-8d4f-48ce-af13-2df58fbee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6d057-8d4f-48ce-af13-2df58fbee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07038-5BAE-418B-8E3A-CD76519E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6d057-8d4f-48ce-af13-2df58fbee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983CF-51C3-4BA4-B57B-6BB601FC8D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Janice Poon</cp:lastModifiedBy>
  <cp:revision>6</cp:revision>
  <cp:lastPrinted>2008-01-14T17:11:00Z</cp:lastPrinted>
  <dcterms:created xsi:type="dcterms:W3CDTF">2024-01-05T11:49:00Z</dcterms:created>
  <dcterms:modified xsi:type="dcterms:W3CDTF">2024-10-31T12:32:00Z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0x010100CAE055CF27F17942B40EA858189F59E6</vt:lpwstr>
  </property>
</Properties>
</file>